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72CD7" w14:textId="77777777" w:rsidR="007F0FFD" w:rsidRDefault="007F0FFD" w:rsidP="007F0FFD">
      <w:r>
        <w:t xml:space="preserve">Gentilissimi lettori, </w:t>
      </w:r>
    </w:p>
    <w:p w14:paraId="2FD01EBB" w14:textId="77777777" w:rsidR="007F0FFD" w:rsidRDefault="007F0FFD" w:rsidP="007F0FFD">
      <w:r>
        <w:t xml:space="preserve">al fine di non interrompere le comunicazioni periodiche e nell’attesa del superamento di una momentanea difficoltà editoriale, sarà utilizzata la news nella formula che segue per riportare le principali notizie afferenti </w:t>
      </w:r>
      <w:proofErr w:type="gramStart"/>
      <w:r>
        <w:t>il</w:t>
      </w:r>
      <w:proofErr w:type="gramEnd"/>
      <w:r>
        <w:t xml:space="preserve"> ns. ambito professionale.</w:t>
      </w:r>
    </w:p>
    <w:p w14:paraId="5E37B1B1" w14:textId="77777777" w:rsidR="007F0FFD" w:rsidRDefault="007F0FFD" w:rsidP="007F0FFD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</w:pPr>
      <w:r>
        <w:t>Colgo l’occasione per ricordare che è possibile rinnovare l’abbonamento per l’anno 2024 al costo di € 20,00 (venti/00), tramite bonifico all’</w:t>
      </w:r>
      <w:r w:rsidRPr="000A2FB1">
        <w:rPr>
          <w:rFonts w:ascii="Arial" w:eastAsia="Times New Roman" w:hAnsi="Arial" w:cs="Arial"/>
          <w:b/>
          <w:bCs/>
          <w:color w:val="4A4A4A"/>
          <w:spacing w:val="5"/>
          <w:kern w:val="0"/>
          <w:sz w:val="24"/>
          <w:szCs w:val="24"/>
          <w:lang w:eastAsia="it-IT"/>
          <w14:ligatures w14:val="none"/>
        </w:rPr>
        <w:t>IBAN IT94A3608105138299273899276</w:t>
      </w:r>
      <w:r>
        <w:rPr>
          <w:rFonts w:ascii="Arial" w:eastAsia="Times New Roman" w:hAnsi="Arial" w:cs="Arial"/>
          <w:b/>
          <w:bCs/>
          <w:color w:val="4A4A4A"/>
          <w:spacing w:val="5"/>
          <w:kern w:val="0"/>
          <w:sz w:val="45"/>
          <w:szCs w:val="45"/>
          <w:lang w:eastAsia="it-IT"/>
          <w14:ligatures w14:val="none"/>
        </w:rPr>
        <w:t xml:space="preserve"> </w:t>
      </w:r>
      <w:r w:rsidRPr="00562B57">
        <w:rPr>
          <w:rFonts w:ascii="Arial" w:eastAsia="Times New Roman" w:hAnsi="Arial" w:cs="Arial"/>
          <w:color w:val="4A4A4A"/>
          <w:spacing w:val="5"/>
          <w:kern w:val="0"/>
          <w:sz w:val="45"/>
          <w:szCs w:val="45"/>
          <w:lang w:eastAsia="it-IT"/>
          <w14:ligatures w14:val="none"/>
        </w:rPr>
        <w:t>–</w:t>
      </w:r>
      <w:r>
        <w:rPr>
          <w:rFonts w:ascii="Arial" w:eastAsia="Times New Roman" w:hAnsi="Arial" w:cs="Arial"/>
          <w:b/>
          <w:bCs/>
          <w:color w:val="4A4A4A"/>
          <w:spacing w:val="5"/>
          <w:kern w:val="0"/>
          <w:sz w:val="45"/>
          <w:szCs w:val="45"/>
          <w:lang w:eastAsia="it-IT"/>
          <w14:ligatures w14:val="none"/>
        </w:rPr>
        <w:t xml:space="preserve"> </w:t>
      </w:r>
      <w:r w:rsidRPr="00562B57"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  <w:t>Finiguerra Mauro.</w:t>
      </w:r>
    </w:p>
    <w:p w14:paraId="19A8B143" w14:textId="77777777" w:rsidR="007F0FFD" w:rsidRDefault="007F0FFD" w:rsidP="007F0FFD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  <w:t xml:space="preserve">Fiducioso nella Vs. comprensione, unitamente allo staff di </w:t>
      </w:r>
      <w:proofErr w:type="spellStart"/>
      <w:r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  <w:t>Aspera</w:t>
      </w:r>
      <w:proofErr w:type="spellEnd"/>
      <w:r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  <w:t>, porgo cordiali saluti.</w:t>
      </w:r>
    </w:p>
    <w:p w14:paraId="77A528A2" w14:textId="77777777" w:rsidR="007F0FFD" w:rsidRPr="000A2FB1" w:rsidRDefault="007F0FFD" w:rsidP="007F0FFD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color w:val="4A4A4A"/>
          <w:spacing w:val="5"/>
          <w:kern w:val="0"/>
          <w:sz w:val="24"/>
          <w:szCs w:val="24"/>
          <w:lang w:eastAsia="it-IT"/>
          <w14:ligatures w14:val="none"/>
        </w:rPr>
        <w:t>Mauro Finiguerra</w:t>
      </w:r>
    </w:p>
    <w:p w14:paraId="389090C5" w14:textId="681C1565" w:rsidR="008B7D62" w:rsidRDefault="007F0FFD">
      <w:pPr>
        <w:rPr>
          <w:rFonts w:ascii="Karla" w:hAnsi="Karla"/>
          <w:color w:val="212529"/>
          <w:spacing w:val="1"/>
          <w:sz w:val="27"/>
          <w:szCs w:val="27"/>
          <w:shd w:val="clear" w:color="auto" w:fill="FFFFFF"/>
        </w:rPr>
      </w:pPr>
      <w:r>
        <w:rPr>
          <w:rStyle w:val="Enfasigrassetto"/>
          <w:rFonts w:ascii="Karla" w:hAnsi="Karla"/>
          <w:color w:val="212529"/>
          <w:spacing w:val="1"/>
          <w:sz w:val="27"/>
          <w:szCs w:val="27"/>
          <w:shd w:val="clear" w:color="auto" w:fill="FFFFFF"/>
        </w:rPr>
        <w:t>Il 25 gennaio</w:t>
      </w:r>
      <w:r>
        <w:rPr>
          <w:rFonts w:ascii="Karla" w:hAnsi="Karla"/>
          <w:color w:val="212529"/>
          <w:spacing w:val="1"/>
          <w:sz w:val="27"/>
          <w:szCs w:val="27"/>
          <w:shd w:val="clear" w:color="auto" w:fill="FFFFFF"/>
        </w:rPr>
        <w:t> scorso </w:t>
      </w:r>
      <w:r>
        <w:rPr>
          <w:rStyle w:val="Enfasigrassetto"/>
          <w:rFonts w:ascii="Karla" w:hAnsi="Karla"/>
          <w:color w:val="212529"/>
          <w:spacing w:val="1"/>
          <w:sz w:val="27"/>
          <w:szCs w:val="27"/>
          <w:shd w:val="clear" w:color="auto" w:fill="FFFFFF"/>
        </w:rPr>
        <w:t>il Consiglio dei Ministri ha varato la versione definitiva</w:t>
      </w:r>
      <w:r>
        <w:rPr>
          <w:rFonts w:ascii="Karla" w:hAnsi="Karla"/>
          <w:color w:val="212529"/>
          <w:spacing w:val="1"/>
          <w:sz w:val="27"/>
          <w:szCs w:val="27"/>
          <w:shd w:val="clear" w:color="auto" w:fill="FFFFFF"/>
        </w:rPr>
        <w:t> del </w:t>
      </w:r>
      <w:r>
        <w:rPr>
          <w:rStyle w:val="Enfasigrassetto"/>
          <w:rFonts w:ascii="Karla" w:hAnsi="Karla"/>
          <w:color w:val="212529"/>
          <w:spacing w:val="1"/>
          <w:sz w:val="27"/>
          <w:szCs w:val="27"/>
          <w:shd w:val="clear" w:color="auto" w:fill="FFFFFF"/>
        </w:rPr>
        <w:t>Decreto Legislativo </w:t>
      </w:r>
      <w:r>
        <w:rPr>
          <w:rStyle w:val="Enfasicorsivo"/>
          <w:rFonts w:ascii="Karla" w:hAnsi="Karla"/>
          <w:b/>
          <w:bCs/>
          <w:color w:val="212529"/>
          <w:spacing w:val="1"/>
          <w:sz w:val="27"/>
          <w:szCs w:val="27"/>
          <w:shd w:val="clear" w:color="auto" w:fill="FFFFFF"/>
        </w:rPr>
        <w:t>Accertamento</w:t>
      </w:r>
      <w:r>
        <w:rPr>
          <w:rStyle w:val="Enfasigrassetto"/>
          <w:rFonts w:ascii="Karla" w:hAnsi="Karla"/>
          <w:color w:val="212529"/>
          <w:spacing w:val="1"/>
          <w:sz w:val="27"/>
          <w:szCs w:val="27"/>
          <w:shd w:val="clear" w:color="auto" w:fill="FFFFFF"/>
        </w:rPr>
        <w:t>,</w:t>
      </w:r>
      <w:r>
        <w:rPr>
          <w:rFonts w:ascii="Karla" w:hAnsi="Karla"/>
          <w:color w:val="212529"/>
          <w:spacing w:val="1"/>
          <w:sz w:val="27"/>
          <w:szCs w:val="27"/>
          <w:shd w:val="clear" w:color="auto" w:fill="FFFFFF"/>
        </w:rPr>
        <w:t> al cui interno, tra le altre cose, sono contenute le norme che regolano il </w:t>
      </w:r>
      <w:r>
        <w:rPr>
          <w:rStyle w:val="Enfasicorsivo"/>
          <w:rFonts w:ascii="Karla" w:hAnsi="Karla"/>
          <w:color w:val="212529"/>
          <w:spacing w:val="1"/>
          <w:sz w:val="27"/>
          <w:szCs w:val="27"/>
          <w:shd w:val="clear" w:color="auto" w:fill="FFFFFF"/>
        </w:rPr>
        <w:t>Concordato preventivo biennale</w:t>
      </w:r>
      <w:r>
        <w:rPr>
          <w:rFonts w:ascii="Karla" w:hAnsi="Karla"/>
          <w:color w:val="212529"/>
          <w:spacing w:val="1"/>
          <w:sz w:val="27"/>
          <w:szCs w:val="27"/>
          <w:shd w:val="clear" w:color="auto" w:fill="FFFFFF"/>
        </w:rPr>
        <w:t>. Per saperne di più:</w:t>
      </w:r>
      <w:r w:rsidRPr="007F0FFD">
        <w:t xml:space="preserve"> </w:t>
      </w:r>
      <w:hyperlink r:id="rId4" w:history="1">
        <w:r w:rsidRPr="00271194">
          <w:rPr>
            <w:rStyle w:val="Collegamentoipertestuale"/>
            <w:rFonts w:ascii="Karla" w:hAnsi="Karla"/>
            <w:spacing w:val="1"/>
            <w:sz w:val="27"/>
            <w:szCs w:val="27"/>
            <w:shd w:val="clear" w:color="auto" w:fill="FFFFFF"/>
          </w:rPr>
          <w:t>https://www.fiscoetasse.com/rassegna-stampa/35040-partite-iva-il-concordato-preventivo-biennale-e-definito-ed-approvato.html?smclient=195b776f-bdfd-4bb2-8f16-ed1ba83fd6dc&amp;utm_campaign=RS&amp;utm_medium=email_mn_fet&amp;utm_source=Rassegna+Settimanale&amp;utm_content=RS+2024-02-03</w:t>
        </w:r>
      </w:hyperlink>
    </w:p>
    <w:p w14:paraId="6D55187E" w14:textId="02232809" w:rsidR="007F0FFD" w:rsidRPr="007F0FFD" w:rsidRDefault="00000000" w:rsidP="007F0FFD">
      <w:pPr>
        <w:shd w:val="clear" w:color="auto" w:fill="0066CC"/>
        <w:spacing w:after="0" w:line="240" w:lineRule="auto"/>
        <w:rPr>
          <w:rFonts w:ascii="inherit" w:eastAsia="Times New Roman" w:hAnsi="inherit" w:cs="Times New Roman"/>
          <w:color w:val="1C2024"/>
          <w:kern w:val="36"/>
          <w:sz w:val="54"/>
          <w:szCs w:val="54"/>
          <w:lang w:eastAsia="it-IT"/>
          <w14:ligatures w14:val="none"/>
        </w:rPr>
      </w:pPr>
      <w:hyperlink r:id="rId5" w:history="1">
        <w:r w:rsidR="007F0FFD" w:rsidRPr="007F0FFD">
          <w:rPr>
            <w:rFonts w:ascii="inherit" w:eastAsia="Times New Roman" w:hAnsi="inherit" w:cs="Times New Roman"/>
            <w:color w:val="FFFFFF"/>
            <w:spacing w:val="2"/>
            <w:kern w:val="36"/>
            <w:sz w:val="54"/>
            <w:szCs w:val="54"/>
            <w:lang w:eastAsia="it-IT"/>
            <w14:ligatures w14:val="none"/>
          </w:rPr>
          <w:t>Ministero dell'agricoltura,</w:t>
        </w:r>
        <w:r w:rsidR="007F0FFD">
          <w:rPr>
            <w:rFonts w:ascii="inherit" w:eastAsia="Times New Roman" w:hAnsi="inherit" w:cs="Times New Roman"/>
            <w:color w:val="FFFFFF"/>
            <w:spacing w:val="2"/>
            <w:kern w:val="36"/>
            <w:sz w:val="54"/>
            <w:szCs w:val="54"/>
            <w:lang w:eastAsia="it-IT"/>
            <w14:ligatures w14:val="none"/>
          </w:rPr>
          <w:t xml:space="preserve"> </w:t>
        </w:r>
        <w:r w:rsidR="007F0FFD" w:rsidRPr="007F0FFD">
          <w:rPr>
            <w:rFonts w:ascii="inherit" w:eastAsia="Times New Roman" w:hAnsi="inherit" w:cs="Times New Roman"/>
            <w:color w:val="FFFFFF"/>
            <w:spacing w:val="2"/>
            <w:kern w:val="36"/>
            <w:sz w:val="54"/>
            <w:szCs w:val="54"/>
            <w:lang w:eastAsia="it-IT"/>
            <w14:ligatures w14:val="none"/>
          </w:rPr>
          <w:t>della sovranità alimentare e delle foreste</w:t>
        </w:r>
      </w:hyperlink>
    </w:p>
    <w:p w14:paraId="5EF1D273" w14:textId="3683C8D6" w:rsidR="007F0FFD" w:rsidRDefault="007F0FFD">
      <w:r w:rsidRPr="007F0FFD">
        <w:t xml:space="preserve">Si è tenuta </w:t>
      </w:r>
      <w:r>
        <w:t>venerdì 5 febbraio</w:t>
      </w:r>
      <w:r w:rsidRPr="007F0FFD">
        <w:t xml:space="preserve">, presso il salone Agricoltura del </w:t>
      </w:r>
      <w:proofErr w:type="spellStart"/>
      <w:r w:rsidRPr="007F0FFD">
        <w:t>Masaf</w:t>
      </w:r>
      <w:proofErr w:type="spellEnd"/>
      <w:r w:rsidRPr="007F0FFD">
        <w:t xml:space="preserve">, la prima riunione del tavolo tecnico, convocato in maniera permanente, sulla Pac </w:t>
      </w:r>
      <w:hyperlink r:id="rId6" w:history="1">
        <w:r w:rsidRPr="00271194">
          <w:rPr>
            <w:rStyle w:val="Collegamentoipertestuale"/>
          </w:rPr>
          <w:t>https://www.politicheagricole.it/pac-tavolo-tecnico-masaf</w:t>
        </w:r>
      </w:hyperlink>
      <w:r w:rsidRPr="007F0FFD">
        <w:t>;</w:t>
      </w:r>
    </w:p>
    <w:p w14:paraId="4BD9B72A" w14:textId="77777777" w:rsidR="007F0FFD" w:rsidRPr="007F0FFD" w:rsidRDefault="007F0FFD" w:rsidP="007F0FFD">
      <w:pPr>
        <w:pStyle w:val="Titolo1"/>
        <w:shd w:val="clear" w:color="auto" w:fill="FFFFFF"/>
        <w:rPr>
          <w:rFonts w:ascii="IBMPlexSans" w:eastAsia="Times New Roman" w:hAnsi="IBMPlexSans" w:cs="Times New Roman"/>
          <w:color w:val="19275C"/>
          <w:kern w:val="36"/>
          <w:sz w:val="48"/>
          <w:szCs w:val="48"/>
          <w:lang w:eastAsia="it-IT"/>
          <w14:ligatures w14:val="none"/>
        </w:rPr>
      </w:pPr>
      <w:r>
        <w:t xml:space="preserve"> </w:t>
      </w:r>
      <w:r w:rsidRPr="007F0FFD">
        <w:rPr>
          <w:rFonts w:ascii="IBMPlexSans" w:eastAsia="Times New Roman" w:hAnsi="IBMPlexSans" w:cs="Times New Roman"/>
          <w:color w:val="19275C"/>
          <w:kern w:val="36"/>
          <w:sz w:val="48"/>
          <w:szCs w:val="48"/>
          <w:lang w:eastAsia="it-IT"/>
          <w14:ligatures w14:val="none"/>
        </w:rPr>
        <w:t>Partite IVA: il Concordato preventivo biennale è definito ed approvato</w:t>
      </w:r>
    </w:p>
    <w:p w14:paraId="5F19D0AC" w14:textId="157FDCCE" w:rsidR="007F0FFD" w:rsidRPr="00B30EA3" w:rsidRDefault="007F0FFD" w:rsidP="007F0FFD">
      <w:pPr>
        <w:shd w:val="clear" w:color="auto" w:fill="FFFFFF"/>
        <w:spacing w:before="100" w:beforeAutospacing="1" w:after="510" w:line="240" w:lineRule="auto"/>
        <w:outlineLvl w:val="1"/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</w:pPr>
      <w:r w:rsidRPr="007F0FFD">
        <w:rPr>
          <w:rFonts w:ascii="IBMPlexSans" w:eastAsia="Times New Roman" w:hAnsi="IBMPlexSans" w:cs="Times New Roman"/>
          <w:color w:val="212529"/>
          <w:kern w:val="0"/>
          <w:sz w:val="27"/>
          <w:szCs w:val="27"/>
          <w:lang w:eastAsia="it-IT"/>
          <w14:ligatures w14:val="none"/>
        </w:rPr>
        <w:t>Il Consiglio dei Ministri approva la versione definitiva del Decreto Legislativo Accertamento che norma anche il Concordato preventivo biennale</w:t>
      </w:r>
      <w:r>
        <w:rPr>
          <w:rFonts w:ascii="IBMPlexSans" w:eastAsia="Times New Roman" w:hAnsi="IBMPlexSans" w:cs="Times New Roman"/>
          <w:color w:val="212529"/>
          <w:kern w:val="0"/>
          <w:sz w:val="27"/>
          <w:szCs w:val="27"/>
          <w:lang w:eastAsia="it-IT"/>
          <w14:ligatures w14:val="none"/>
        </w:rPr>
        <w:t>:</w:t>
      </w:r>
      <w:r w:rsidRPr="007F0FFD">
        <w:t xml:space="preserve"> </w:t>
      </w:r>
      <w:r w:rsidRPr="007F0FFD">
        <w:rPr>
          <w:rFonts w:ascii="IBMPlexSans" w:eastAsia="Times New Roman" w:hAnsi="IBMPlexSans" w:cs="Times New Roman"/>
          <w:color w:val="212529"/>
          <w:kern w:val="0"/>
          <w:sz w:val="27"/>
          <w:szCs w:val="27"/>
          <w:lang w:eastAsia="it-IT"/>
          <w14:ligatures w14:val="none"/>
        </w:rPr>
        <w:t>https</w:t>
      </w:r>
      <w:r w:rsidRPr="00B30EA3"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  <w:t>://www.fiscoetasse.com/rassegna-stampa/35040-partite-iva-il-concordato-preventivo-biennale-e-definito-ed-approvato.html?smclient=195b776f-bdfd-4bb2-8f16- ed1ba83fd6dc&amp;utm_campaign=</w:t>
      </w:r>
      <w:proofErr w:type="spellStart"/>
      <w:r w:rsidRPr="00B30EA3"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  <w:t>RS&amp;utm_medium</w:t>
      </w:r>
      <w:proofErr w:type="spellEnd"/>
      <w:r w:rsidRPr="00B30EA3"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  <w:t>=</w:t>
      </w:r>
      <w:proofErr w:type="spellStart"/>
      <w:r w:rsidRPr="00B30EA3"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  <w:t>email_mn_fet&amp;utm</w:t>
      </w:r>
      <w:proofErr w:type="spellEnd"/>
      <w:r w:rsidRPr="00B30EA3"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  <w:t>_ source=</w:t>
      </w:r>
      <w:proofErr w:type="spellStart"/>
      <w:r w:rsidRPr="00B30EA3"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  <w:t>Rassegna+Settimanale&amp;utm_content</w:t>
      </w:r>
      <w:proofErr w:type="spellEnd"/>
      <w:r w:rsidRPr="00B30EA3">
        <w:rPr>
          <w:rFonts w:ascii="IBMPlexSans" w:eastAsia="Times New Roman" w:hAnsi="IBMPlexSans" w:cs="Times New Roman"/>
          <w:color w:val="2E74B5" w:themeColor="accent5" w:themeShade="BF"/>
          <w:kern w:val="0"/>
          <w:sz w:val="27"/>
          <w:szCs w:val="27"/>
          <w:lang w:eastAsia="it-IT"/>
          <w14:ligatures w14:val="none"/>
        </w:rPr>
        <w:t>=RS+2024-02-03</w:t>
      </w:r>
    </w:p>
    <w:p w14:paraId="264775CD" w14:textId="77777777" w:rsidR="00B30EA3" w:rsidRPr="00B30EA3" w:rsidRDefault="00B30EA3" w:rsidP="00B30EA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IBMPlexSans" w:eastAsia="Times New Roman" w:hAnsi="IBMPlexSans" w:cs="Times New Roman"/>
          <w:color w:val="19275C"/>
          <w:kern w:val="36"/>
          <w:sz w:val="48"/>
          <w:szCs w:val="48"/>
          <w:lang w:eastAsia="it-IT"/>
          <w14:ligatures w14:val="none"/>
        </w:rPr>
      </w:pPr>
      <w:r w:rsidRPr="00B30EA3">
        <w:rPr>
          <w:rFonts w:ascii="IBMPlexSans" w:eastAsia="Times New Roman" w:hAnsi="IBMPlexSans" w:cs="Times New Roman"/>
          <w:color w:val="19275C"/>
          <w:kern w:val="36"/>
          <w:sz w:val="48"/>
          <w:szCs w:val="48"/>
          <w:lang w:eastAsia="it-IT"/>
          <w14:ligatures w14:val="none"/>
        </w:rPr>
        <w:t>Piattaforme online: invio dati alle Entrate prorogato al 15.02</w:t>
      </w:r>
    </w:p>
    <w:p w14:paraId="5E991B84" w14:textId="1A2A22F5" w:rsidR="007F0FFD" w:rsidRDefault="00000000" w:rsidP="007F0FFD">
      <w:pPr>
        <w:shd w:val="clear" w:color="auto" w:fill="FFFFFF"/>
        <w:spacing w:before="100" w:beforeAutospacing="1" w:after="510" w:line="240" w:lineRule="auto"/>
        <w:outlineLvl w:val="1"/>
        <w:rPr>
          <w:rFonts w:ascii="IBMPlexSans" w:eastAsia="Times New Roman" w:hAnsi="IBMPlexSans" w:cs="Times New Roman"/>
          <w:color w:val="212529"/>
          <w:kern w:val="0"/>
          <w:sz w:val="27"/>
          <w:szCs w:val="27"/>
          <w:lang w:eastAsia="it-IT"/>
          <w14:ligatures w14:val="none"/>
        </w:rPr>
      </w:pPr>
      <w:hyperlink r:id="rId7" w:history="1">
        <w:r w:rsidR="00B30EA3" w:rsidRPr="00271194">
          <w:rPr>
            <w:rStyle w:val="Collegamentoipertestuale"/>
            <w:rFonts w:ascii="IBMPlexSans" w:eastAsia="Times New Roman" w:hAnsi="IBMPlexSans" w:cs="Times New Roman"/>
            <w:kern w:val="0"/>
            <w:sz w:val="27"/>
            <w:szCs w:val="27"/>
            <w:lang w:eastAsia="it-IT"/>
            <w14:ligatures w14:val="none"/>
          </w:rPr>
          <w:t>https://www.fiscoetasse.com/rassegna-stampa/32887-piattaforme-online-invio-dati-alle-entrate-prorogato-al-1502.html?smclient=195b776f-bdfd-4bb2-8f16-ed1ba83fd6dc&amp;utm_campaign=RSQ&amp;utm_medium=email_mn_fet&amp;utm_source=Rassegna+quotidiana+&amp;utm_content=RSQ+2024-02-01</w:t>
        </w:r>
      </w:hyperlink>
    </w:p>
    <w:p w14:paraId="571DE15D" w14:textId="77777777" w:rsidR="00B30EA3" w:rsidRPr="00B30EA3" w:rsidRDefault="00B30EA3" w:rsidP="00B30EA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IBMPlexSans" w:eastAsia="Times New Roman" w:hAnsi="IBMPlexSans" w:cs="Times New Roman"/>
          <w:color w:val="19275C"/>
          <w:kern w:val="36"/>
          <w:sz w:val="48"/>
          <w:szCs w:val="48"/>
          <w:lang w:eastAsia="it-IT"/>
          <w14:ligatures w14:val="none"/>
        </w:rPr>
      </w:pPr>
      <w:r w:rsidRPr="00B30EA3">
        <w:rPr>
          <w:rFonts w:ascii="IBMPlexSans" w:eastAsia="Times New Roman" w:hAnsi="IBMPlexSans" w:cs="Times New Roman"/>
          <w:color w:val="19275C"/>
          <w:kern w:val="36"/>
          <w:sz w:val="48"/>
          <w:szCs w:val="48"/>
          <w:lang w:eastAsia="it-IT"/>
          <w14:ligatures w14:val="none"/>
        </w:rPr>
        <w:t xml:space="preserve">Fatture elettroniche: il nuovo T28 dal </w:t>
      </w:r>
      <w:proofErr w:type="gramStart"/>
      <w:r w:rsidRPr="00B30EA3">
        <w:rPr>
          <w:rFonts w:ascii="IBMPlexSans" w:eastAsia="Times New Roman" w:hAnsi="IBMPlexSans" w:cs="Times New Roman"/>
          <w:color w:val="19275C"/>
          <w:kern w:val="36"/>
          <w:sz w:val="48"/>
          <w:szCs w:val="48"/>
          <w:lang w:eastAsia="it-IT"/>
          <w14:ligatures w14:val="none"/>
        </w:rPr>
        <w:t>1 febbraio</w:t>
      </w:r>
      <w:proofErr w:type="gramEnd"/>
    </w:p>
    <w:p w14:paraId="70DEDE83" w14:textId="526C3C4C" w:rsidR="00B30EA3" w:rsidRDefault="00000000" w:rsidP="007F0FFD">
      <w:pPr>
        <w:shd w:val="clear" w:color="auto" w:fill="FFFFFF"/>
        <w:spacing w:before="100" w:beforeAutospacing="1" w:after="510" w:line="240" w:lineRule="auto"/>
        <w:outlineLvl w:val="1"/>
        <w:rPr>
          <w:rFonts w:ascii="IBMPlexSans" w:eastAsia="Times New Roman" w:hAnsi="IBMPlexSans" w:cs="Times New Roman"/>
          <w:color w:val="212529"/>
          <w:kern w:val="0"/>
          <w:sz w:val="27"/>
          <w:szCs w:val="27"/>
          <w:lang w:eastAsia="it-IT"/>
          <w14:ligatures w14:val="none"/>
        </w:rPr>
      </w:pPr>
      <w:hyperlink r:id="rId8" w:history="1">
        <w:r w:rsidR="00B30EA3" w:rsidRPr="00271194">
          <w:rPr>
            <w:rStyle w:val="Collegamentoipertestuale"/>
            <w:rFonts w:ascii="IBMPlexSans" w:eastAsia="Times New Roman" w:hAnsi="IBMPlexSans" w:cs="Times New Roman"/>
            <w:kern w:val="0"/>
            <w:sz w:val="27"/>
            <w:szCs w:val="27"/>
            <w:lang w:eastAsia="it-IT"/>
            <w14:ligatures w14:val="none"/>
          </w:rPr>
          <w:t>https://www.fiscoetasse.com/rassegna-stampa/34917-fatture-elettroniche-dal-1-febbraio-nuove-specifiche-tecniche.html?smclient=195b776f-bdfd-4bb2-8f16-ed1ba83fd6dc&amp;utm_campaign=RSQ&amp;utm_medium=email_mn_fet&amp;utm_source=Rassegna+quotidiana+&amp;utm_content=RSQ+2024-02-01</w:t>
        </w:r>
      </w:hyperlink>
    </w:p>
    <w:p w14:paraId="0E73917B" w14:textId="5E9DDAAC" w:rsidR="00B30EA3" w:rsidRDefault="00B30EA3" w:rsidP="00B30EA3">
      <w:pPr>
        <w:shd w:val="clear" w:color="auto" w:fill="FFFFFF"/>
        <w:spacing w:after="84" w:line="240" w:lineRule="auto"/>
        <w:outlineLvl w:val="0"/>
        <w:rPr>
          <w:rFonts w:ascii="Ubuntu" w:eastAsia="Times New Roman" w:hAnsi="Ubuntu" w:cs="Times New Roman"/>
          <w:b/>
          <w:bCs/>
          <w:color w:val="2F2F2F"/>
          <w:kern w:val="36"/>
          <w:sz w:val="44"/>
          <w:szCs w:val="44"/>
          <w:lang w:eastAsia="it-IT"/>
          <w14:ligatures w14:val="none"/>
        </w:rPr>
      </w:pPr>
      <w:r w:rsidRPr="00B30EA3">
        <w:rPr>
          <w:rFonts w:ascii="Ubuntu" w:eastAsia="Times New Roman" w:hAnsi="Ubuntu" w:cs="Times New Roman"/>
          <w:b/>
          <w:bCs/>
          <w:color w:val="2F2F2F"/>
          <w:kern w:val="36"/>
          <w:sz w:val="44"/>
          <w:szCs w:val="44"/>
          <w:lang w:eastAsia="it-IT"/>
          <w14:ligatures w14:val="none"/>
        </w:rPr>
        <w:t>Ecoschema 1: tutti gli adempimenti</w:t>
      </w:r>
      <w:r>
        <w:rPr>
          <w:rFonts w:ascii="Ubuntu" w:eastAsia="Times New Roman" w:hAnsi="Ubuntu" w:cs="Times New Roman"/>
          <w:b/>
          <w:bCs/>
          <w:color w:val="2F2F2F"/>
          <w:kern w:val="36"/>
          <w:sz w:val="44"/>
          <w:szCs w:val="44"/>
          <w:lang w:eastAsia="it-IT"/>
          <w14:ligatures w14:val="none"/>
        </w:rPr>
        <w:t xml:space="preserve"> </w:t>
      </w:r>
      <w:r w:rsidRPr="00B30EA3">
        <w:rPr>
          <w:rFonts w:ascii="Ubuntu" w:eastAsia="Times New Roman" w:hAnsi="Ubuntu" w:cs="Times New Roman"/>
          <w:b/>
          <w:bCs/>
          <w:color w:val="2F2F2F"/>
          <w:kern w:val="36"/>
          <w:sz w:val="44"/>
          <w:szCs w:val="44"/>
          <w:lang w:eastAsia="it-IT"/>
          <w14:ligatures w14:val="none"/>
        </w:rPr>
        <w:t>Pac</w:t>
      </w:r>
    </w:p>
    <w:p w14:paraId="38174882" w14:textId="6D5189A8" w:rsidR="00B30EA3" w:rsidRPr="00B30EA3" w:rsidRDefault="00B30EA3" w:rsidP="00B30EA3">
      <w:pPr>
        <w:shd w:val="clear" w:color="auto" w:fill="FFFFFF"/>
        <w:spacing w:after="84" w:line="240" w:lineRule="auto"/>
        <w:outlineLvl w:val="0"/>
        <w:rPr>
          <w:rFonts w:ascii="Ubuntu" w:eastAsia="Times New Roman" w:hAnsi="Ubuntu" w:cs="Times New Roman"/>
          <w:color w:val="2E74B5" w:themeColor="accent5" w:themeShade="BF"/>
          <w:kern w:val="36"/>
          <w:sz w:val="24"/>
          <w:szCs w:val="24"/>
          <w:lang w:eastAsia="it-IT"/>
          <w14:ligatures w14:val="none"/>
        </w:rPr>
      </w:pPr>
      <w:r w:rsidRPr="00B30EA3">
        <w:rPr>
          <w:rFonts w:ascii="Ubuntu" w:eastAsia="Times New Roman" w:hAnsi="Ubuntu" w:cs="Times New Roman"/>
          <w:color w:val="2E74B5" w:themeColor="accent5" w:themeShade="BF"/>
          <w:kern w:val="36"/>
          <w:sz w:val="24"/>
          <w:szCs w:val="24"/>
          <w:lang w:eastAsia="it-IT"/>
          <w14:ligatures w14:val="none"/>
        </w:rPr>
        <w:t>https://agronotizie.imagelinenetwork.com/zootecnia/2024/01/22/pac-tutti-gli-adempimenti-per-l-ecoschema-1/81068</w:t>
      </w:r>
    </w:p>
    <w:p w14:paraId="6111E055" w14:textId="77777777" w:rsidR="00A2489B" w:rsidRDefault="00A2489B" w:rsidP="00A2489B">
      <w:pPr>
        <w:pStyle w:val="NormaleWeb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INFORMATORE AGRARIO 1</w:t>
      </w:r>
    </w:p>
    <w:p w14:paraId="06DB8D3B" w14:textId="05D80A34" w:rsidR="00B30EA3" w:rsidRPr="007F0FFD" w:rsidRDefault="00A2489B" w:rsidP="00A2489B">
      <w:pPr>
        <w:shd w:val="clear" w:color="auto" w:fill="FFFFFF"/>
        <w:spacing w:before="100" w:beforeAutospacing="1" w:after="510" w:line="240" w:lineRule="auto"/>
        <w:outlineLvl w:val="1"/>
        <w:rPr>
          <w:rFonts w:ascii="IBMPlexSans" w:eastAsia="Times New Roman" w:hAnsi="IBMPlexSans" w:cs="Times New Roman"/>
          <w:color w:val="212529"/>
          <w:kern w:val="0"/>
          <w:sz w:val="27"/>
          <w:szCs w:val="27"/>
          <w:lang w:eastAsia="it-IT"/>
          <w14:ligatures w14:val="none"/>
        </w:rPr>
      </w:pPr>
      <w:r>
        <w:rPr>
          <w:rFonts w:ascii="Arial" w:hAnsi="Arial" w:cs="Arial"/>
          <w:b/>
          <w:bCs/>
          <w:sz w:val="28"/>
          <w:szCs w:val="28"/>
        </w:rPr>
        <w:t>Autorizzati dalla Direzione del prestigioso settimanale, nostro partner negli eventi realizzati in EXPO 2015 ed in tante altre occasioni</w:t>
      </w:r>
    </w:p>
    <w:p w14:paraId="2B32A673" w14:textId="5A526280" w:rsidR="007F0FFD" w:rsidRDefault="0030725E">
      <w:r>
        <w:object w:dxaOrig="1541" w:dyaOrig="998" w14:anchorId="5C76EC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Acrobat.Document.DC" ShapeID="_x0000_i1025" DrawAspect="Icon" ObjectID="_1768810649" r:id="rId10"/>
        </w:object>
      </w:r>
      <w:r>
        <w:object w:dxaOrig="1541" w:dyaOrig="998" w14:anchorId="281C4320">
          <v:shape id="_x0000_i1026" type="#_x0000_t75" style="width:77.25pt;height:50.25pt" o:ole="">
            <v:imagedata r:id="rId11" o:title=""/>
          </v:shape>
          <o:OLEObject Type="Embed" ProgID="Acrobat.Document.DC" ShapeID="_x0000_i1026" DrawAspect="Icon" ObjectID="_1768810650" r:id="rId12"/>
        </w:object>
      </w:r>
      <w:r>
        <w:object w:dxaOrig="1541" w:dyaOrig="998" w14:anchorId="72B51598">
          <v:shape id="_x0000_i1027" type="#_x0000_t75" style="width:77.25pt;height:50.25pt" o:ole="">
            <v:imagedata r:id="rId13" o:title=""/>
          </v:shape>
          <o:OLEObject Type="Embed" ProgID="Acrobat.Document.DC" ShapeID="_x0000_i1027" DrawAspect="Icon" ObjectID="_1768810651" r:id="rId14"/>
        </w:object>
      </w:r>
      <w:r>
        <w:object w:dxaOrig="1541" w:dyaOrig="998" w14:anchorId="647CBF6D">
          <v:shape id="_x0000_i1028" type="#_x0000_t75" style="width:77.25pt;height:50.25pt" o:ole="">
            <v:imagedata r:id="rId15" o:title=""/>
          </v:shape>
          <o:OLEObject Type="Embed" ProgID="Acrobat.Document.DC" ShapeID="_x0000_i1028" DrawAspect="Icon" ObjectID="_1768810652" r:id="rId16"/>
        </w:object>
      </w:r>
      <w:r>
        <w:object w:dxaOrig="1541" w:dyaOrig="998" w14:anchorId="2599B4D9">
          <v:shape id="_x0000_i1029" type="#_x0000_t75" style="width:77.25pt;height:50.25pt" o:ole="">
            <v:imagedata r:id="rId17" o:title=""/>
          </v:shape>
          <o:OLEObject Type="Embed" ProgID="Acrobat.Document.DC" ShapeID="_x0000_i1029" DrawAspect="Icon" ObjectID="_1768810653" r:id="rId18"/>
        </w:object>
      </w:r>
    </w:p>
    <w:sectPr w:rsidR="007F0F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IBMPlexSans">
    <w:altName w:val="Cambria"/>
    <w:panose1 w:val="00000000000000000000"/>
    <w:charset w:val="00"/>
    <w:family w:val="roman"/>
    <w:notTrueType/>
    <w:pitch w:val="default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FD"/>
    <w:rsid w:val="0030725E"/>
    <w:rsid w:val="007F0FFD"/>
    <w:rsid w:val="008B7D62"/>
    <w:rsid w:val="00A2489B"/>
    <w:rsid w:val="00B3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0EB3"/>
  <w15:chartTrackingRefBased/>
  <w15:docId w15:val="{5BAB70E9-933D-4376-8FE4-243D5852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0FFD"/>
  </w:style>
  <w:style w:type="paragraph" w:styleId="Titolo1">
    <w:name w:val="heading 1"/>
    <w:basedOn w:val="Normale"/>
    <w:next w:val="Normale"/>
    <w:link w:val="Titolo1Carattere"/>
    <w:uiPriority w:val="9"/>
    <w:qFormat/>
    <w:rsid w:val="007F0F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F0F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F0FFD"/>
    <w:rPr>
      <w:b/>
      <w:bCs/>
    </w:rPr>
  </w:style>
  <w:style w:type="character" w:styleId="Enfasicorsivo">
    <w:name w:val="Emphasis"/>
    <w:basedOn w:val="Carpredefinitoparagrafo"/>
    <w:uiPriority w:val="20"/>
    <w:qFormat/>
    <w:rsid w:val="007F0FFD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7F0FF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0FFD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F0F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F0F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A2489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scoetasse.com/rassegna-stampa/34917-fatture-elettroniche-dal-1-febbraio-nuove-specifiche-tecniche.html?smclient=195b776f-bdfd-4bb2-8f16-ed1ba83fd6dc&amp;utm_campaign=RSQ&amp;utm_medium=email_mn_fet&amp;utm_source=Rassegna+quotidiana+&amp;utm_content=RSQ+2024-02-01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hyperlink" Target="https://www.fiscoetasse.com/rassegna-stampa/32887-piattaforme-online-invio-dati-alle-entrate-prorogato-al-1502.html?smclient=195b776f-bdfd-4bb2-8f16-ed1ba83fd6dc&amp;utm_campaign=RSQ&amp;utm_medium=email_mn_fet&amp;utm_source=Rassegna+quotidiana+&amp;utm_content=RSQ+2024-02-01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politicheagricole.it/pac-tavolo-tecnico-masaf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www.politicheagricole.it/flex/cm/pages/ServeBLOB.php/L/IT/IDPagina/202" TargetMode="Externa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hyperlink" Target="https://www.fiscoetasse.com/rassegna-stampa/35040-partite-iva-il-concordato-preventivo-biennale-e-definito-ed-approvato.html?smclient=195b776f-bdfd-4bb2-8f16-ed1ba83fd6dc&amp;utm_campaign=RS&amp;utm_medium=email_mn_fet&amp;utm_source=Rassegna+Settimanale&amp;utm_content=RS+2024-02-03" TargetMode="Externa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</dc:creator>
  <cp:keywords/>
  <dc:description/>
  <cp:lastModifiedBy>Mauro</cp:lastModifiedBy>
  <cp:revision>2</cp:revision>
  <dcterms:created xsi:type="dcterms:W3CDTF">2024-02-07T07:40:00Z</dcterms:created>
  <dcterms:modified xsi:type="dcterms:W3CDTF">2024-02-07T10:31:00Z</dcterms:modified>
</cp:coreProperties>
</file>